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6A9F" w14:textId="010BF5C1" w:rsidR="001B30A7" w:rsidRPr="00015E4F" w:rsidRDefault="001B30A7" w:rsidP="001B30A7">
      <w:pPr>
        <w:rPr>
          <w:b/>
          <w:bCs/>
          <w:sz w:val="32"/>
          <w:szCs w:val="32"/>
        </w:rPr>
      </w:pPr>
      <w:r w:rsidRPr="00015E4F">
        <w:rPr>
          <w:b/>
          <w:bCs/>
          <w:sz w:val="32"/>
          <w:szCs w:val="32"/>
        </w:rPr>
        <w:t xml:space="preserve">Home Occupation Requirements </w:t>
      </w:r>
      <w:proofErr w:type="gramStart"/>
      <w:r w:rsidRPr="00015E4F">
        <w:rPr>
          <w:b/>
          <w:bCs/>
          <w:sz w:val="32"/>
          <w:szCs w:val="32"/>
        </w:rPr>
        <w:t>From</w:t>
      </w:r>
      <w:proofErr w:type="gramEnd"/>
      <w:r w:rsidRPr="00015E4F">
        <w:rPr>
          <w:b/>
          <w:bCs/>
          <w:sz w:val="32"/>
          <w:szCs w:val="32"/>
        </w:rPr>
        <w:t xml:space="preserve"> Zoning Ordinance (R-15)</w:t>
      </w:r>
      <w:r w:rsidR="00015E4F" w:rsidRPr="00015E4F">
        <w:rPr>
          <w:b/>
          <w:bCs/>
          <w:sz w:val="32"/>
          <w:szCs w:val="32"/>
        </w:rPr>
        <w:t>:</w:t>
      </w:r>
    </w:p>
    <w:p w14:paraId="11BF7F8D" w14:textId="77777777" w:rsidR="001B30A7" w:rsidRDefault="001B30A7" w:rsidP="001B30A7">
      <w:r>
        <w:t>(D)</w:t>
      </w:r>
      <w:r>
        <w:tab/>
        <w:t>The following accessory uses are permitted as special exceptions in R-15 Districts:</w:t>
      </w:r>
    </w:p>
    <w:p w14:paraId="7A8D0735" w14:textId="77777777" w:rsidR="001B30A7" w:rsidRDefault="001B30A7" w:rsidP="001B30A7">
      <w:pPr>
        <w:ind w:firstLine="1440"/>
      </w:pPr>
      <w:r>
        <w:t>(1)</w:t>
      </w:r>
      <w:r>
        <w:tab/>
        <w:t>Home occupation, excluding public garage and repair garage.  A Home Occupation is an</w:t>
      </w:r>
      <w:r w:rsidRPr="00031CD1">
        <w:t xml:space="preserve"> </w:t>
      </w:r>
      <w:r>
        <w:t>occupation for gain or support conducted only by members of a family residing on the premises and entirely within the main dwelling. The following required development standards must be met by all HOME OCCUPATIONS:</w:t>
      </w:r>
    </w:p>
    <w:p w14:paraId="0F5A64EF" w14:textId="77777777" w:rsidR="001B30A7" w:rsidRDefault="001B30A7" w:rsidP="001B30A7">
      <w:pPr>
        <w:pStyle w:val="ListParagraph"/>
        <w:numPr>
          <w:ilvl w:val="0"/>
          <w:numId w:val="1"/>
        </w:numPr>
        <w:ind w:left="0" w:firstLine="2160"/>
      </w:pPr>
      <w:r>
        <w:t>Only residents of the dwelling may be engaged in the home occupation;</w:t>
      </w:r>
    </w:p>
    <w:p w14:paraId="19DECEDD" w14:textId="77777777" w:rsidR="001B30A7" w:rsidRDefault="001B30A7" w:rsidP="001B30A7">
      <w:pPr>
        <w:pStyle w:val="ListParagraph"/>
        <w:numPr>
          <w:ilvl w:val="0"/>
          <w:numId w:val="1"/>
        </w:numPr>
        <w:ind w:left="0" w:firstLine="2160"/>
      </w:pPr>
      <w:r>
        <w:t>The home occupation must be clearly incidental to  the residential use of the dwelling and must not change the essential residential character of the building;</w:t>
      </w:r>
    </w:p>
    <w:p w14:paraId="13B2A3F1" w14:textId="77777777" w:rsidR="001B30A7" w:rsidRDefault="001B30A7" w:rsidP="001B30A7">
      <w:pPr>
        <w:pStyle w:val="ListParagraph"/>
        <w:numPr>
          <w:ilvl w:val="0"/>
          <w:numId w:val="1"/>
        </w:numPr>
        <w:ind w:left="0" w:firstLine="2160"/>
      </w:pPr>
      <w:r>
        <w:t>No display of products may be visible from the street;</w:t>
      </w:r>
    </w:p>
    <w:p w14:paraId="47481C1B" w14:textId="77777777" w:rsidR="001B30A7" w:rsidRDefault="001B30A7" w:rsidP="001B30A7">
      <w:pPr>
        <w:pStyle w:val="ListParagraph"/>
        <w:numPr>
          <w:ilvl w:val="0"/>
          <w:numId w:val="1"/>
        </w:numPr>
        <w:ind w:left="0" w:firstLine="2160"/>
      </w:pPr>
      <w:r>
        <w:t>Use of the building for this purpose may not exceed 25% of the principal building;</w:t>
      </w:r>
    </w:p>
    <w:p w14:paraId="346B238E" w14:textId="77777777" w:rsidR="001B30A7" w:rsidRDefault="001B30A7" w:rsidP="001B30A7">
      <w:pPr>
        <w:pStyle w:val="ListParagraph"/>
        <w:numPr>
          <w:ilvl w:val="0"/>
          <w:numId w:val="1"/>
        </w:numPr>
        <w:ind w:left="0" w:firstLine="2160"/>
      </w:pPr>
      <w:r>
        <w:t>No internal or external alterations inconsistent with the residential use of the building is permitted;</w:t>
      </w:r>
    </w:p>
    <w:p w14:paraId="0D3FE012" w14:textId="77777777" w:rsidR="001B30A7" w:rsidRDefault="001B30A7" w:rsidP="001B30A7">
      <w:pPr>
        <w:pStyle w:val="ListParagraph"/>
        <w:numPr>
          <w:ilvl w:val="0"/>
          <w:numId w:val="1"/>
        </w:numPr>
        <w:ind w:left="0" w:firstLine="2160"/>
      </w:pPr>
      <w:r>
        <w:t>The home occupation must not constitute a nuisance in the neighborhood;</w:t>
      </w:r>
    </w:p>
    <w:p w14:paraId="6683D214" w14:textId="77777777" w:rsidR="001B30A7" w:rsidRDefault="001B30A7" w:rsidP="001B30A7">
      <w:pPr>
        <w:pStyle w:val="ListParagraph"/>
        <w:numPr>
          <w:ilvl w:val="0"/>
          <w:numId w:val="1"/>
        </w:numPr>
        <w:ind w:left="0" w:firstLine="2160"/>
      </w:pPr>
      <w:r>
        <w:t>No accessory buildings or outside storage may be used in connection with the home occupation, except a private garage;</w:t>
      </w:r>
    </w:p>
    <w:p w14:paraId="6A1F244D" w14:textId="77777777" w:rsidR="001B30A7" w:rsidRDefault="001B30A7" w:rsidP="001B30A7">
      <w:pPr>
        <w:pStyle w:val="ListParagraph"/>
        <w:numPr>
          <w:ilvl w:val="0"/>
          <w:numId w:val="1"/>
        </w:numPr>
        <w:ind w:left="0" w:firstLine="2160"/>
      </w:pPr>
      <w:r>
        <w:t>Only vehicles designed and used primarily as passenger vehicles (this includes light pickup  trucks) may be used in connection with the conduct of the home occupation;</w:t>
      </w:r>
    </w:p>
    <w:p w14:paraId="47C09269" w14:textId="048261DA" w:rsidR="00E34992" w:rsidRDefault="00E34992"/>
    <w:p w14:paraId="18F0AE08" w14:textId="1698DABB" w:rsidR="00015E4F" w:rsidRPr="00015E4F" w:rsidRDefault="00015E4F">
      <w:pPr>
        <w:rPr>
          <w:rFonts w:eastAsiaTheme="majorEastAsia"/>
          <w:b/>
          <w:bCs/>
          <w:color w:val="4F81BD" w:themeColor="accent1"/>
          <w:sz w:val="32"/>
          <w:szCs w:val="32"/>
        </w:rPr>
      </w:pPr>
      <w:r w:rsidRPr="00015E4F">
        <w:rPr>
          <w:b/>
          <w:bCs/>
          <w:sz w:val="32"/>
          <w:szCs w:val="32"/>
        </w:rPr>
        <w:t>From Municipal Code</w:t>
      </w:r>
      <w:r w:rsidRPr="00015E4F">
        <w:rPr>
          <w:rFonts w:eastAsiaTheme="majorEastAsia"/>
          <w:b/>
          <w:bCs/>
          <w:color w:val="4F81BD" w:themeColor="accent1"/>
          <w:sz w:val="32"/>
          <w:szCs w:val="32"/>
        </w:rPr>
        <w:t xml:space="preserve">: </w:t>
      </w:r>
    </w:p>
    <w:p w14:paraId="03480C84" w14:textId="77777777" w:rsidR="00015E4F" w:rsidRPr="00015E4F" w:rsidRDefault="00015E4F" w:rsidP="00015E4F">
      <w:pPr>
        <w:widowControl w:val="0"/>
        <w:autoSpaceDE w:val="0"/>
        <w:autoSpaceDN w:val="0"/>
        <w:adjustRightInd w:val="0"/>
        <w:spacing w:before="1" w:beforeAutospacing="1" w:after="120"/>
        <w:rPr>
          <w:rFonts w:asciiTheme="minorHAnsi" w:eastAsia="Times New Roman" w:hAnsiTheme="minorHAnsi" w:cstheme="minorHAnsi"/>
          <w:b/>
          <w:u w:val="single"/>
        </w:rPr>
      </w:pPr>
      <w:bookmarkStart w:id="0" w:name="_Toc492468496"/>
      <w:bookmarkStart w:id="1" w:name="_Toc92360693"/>
      <w:r w:rsidRPr="00015E4F">
        <w:rPr>
          <w:rFonts w:asciiTheme="majorHAnsi" w:eastAsiaTheme="majorEastAsia" w:hAnsiTheme="majorHAnsi" w:cstheme="majorBidi"/>
          <w:b/>
          <w:bCs/>
          <w:color w:val="4F81BD" w:themeColor="accent1"/>
        </w:rPr>
        <w:t>Sec. 6-4-</w:t>
      </w:r>
      <w:proofErr w:type="gramStart"/>
      <w:r w:rsidRPr="00015E4F">
        <w:rPr>
          <w:rFonts w:asciiTheme="majorHAnsi" w:eastAsiaTheme="majorEastAsia" w:hAnsiTheme="majorHAnsi" w:cstheme="majorBidi"/>
          <w:b/>
          <w:bCs/>
          <w:color w:val="4F81BD" w:themeColor="accent1"/>
        </w:rPr>
        <w:t>21  HOME</w:t>
      </w:r>
      <w:proofErr w:type="gramEnd"/>
      <w:r w:rsidRPr="00015E4F">
        <w:rPr>
          <w:rFonts w:asciiTheme="majorHAnsi" w:eastAsiaTheme="majorEastAsia" w:hAnsiTheme="majorHAnsi" w:cstheme="majorBidi"/>
          <w:b/>
          <w:bCs/>
          <w:color w:val="4F81BD" w:themeColor="accent1"/>
        </w:rPr>
        <w:t xml:space="preserve"> OCCUPATION SIGNS</w:t>
      </w:r>
      <w:bookmarkEnd w:id="0"/>
      <w:bookmarkEnd w:id="1"/>
      <w:r w:rsidRPr="00015E4F">
        <w:rPr>
          <w:rFonts w:asciiTheme="minorHAnsi" w:eastAsia="Times New Roman" w:hAnsiTheme="minorHAnsi" w:cstheme="minorHAnsi"/>
          <w:b/>
        </w:rPr>
        <w:t>.</w:t>
      </w:r>
    </w:p>
    <w:p w14:paraId="7E14CAEA" w14:textId="77777777" w:rsidR="00015E4F" w:rsidRPr="00015E4F" w:rsidRDefault="00015E4F" w:rsidP="00015E4F">
      <w:pPr>
        <w:widowControl w:val="0"/>
        <w:numPr>
          <w:ilvl w:val="0"/>
          <w:numId w:val="2"/>
        </w:numPr>
        <w:autoSpaceDE w:val="0"/>
        <w:autoSpaceDN w:val="0"/>
        <w:adjustRightInd w:val="0"/>
        <w:spacing w:before="1" w:beforeAutospacing="1" w:after="120" w:afterAutospacing="1"/>
        <w:ind w:left="360"/>
        <w:rPr>
          <w:rFonts w:asciiTheme="minorHAnsi" w:eastAsia="Times New Roman" w:hAnsiTheme="minorHAnsi" w:cstheme="minorHAnsi"/>
        </w:rPr>
      </w:pPr>
      <w:r w:rsidRPr="00015E4F">
        <w:rPr>
          <w:rFonts w:asciiTheme="minorHAnsi" w:eastAsia="Times New Roman" w:hAnsiTheme="minorHAnsi" w:cstheme="minorHAnsi"/>
          <w:u w:val="single"/>
        </w:rPr>
        <w:t>Home Occupation Sign.</w:t>
      </w:r>
      <w:r w:rsidRPr="00015E4F">
        <w:rPr>
          <w:rFonts w:asciiTheme="minorHAnsi" w:eastAsia="Times New Roman" w:hAnsiTheme="minorHAnsi" w:cstheme="minorHAnsi"/>
        </w:rPr>
        <w:t xml:space="preserve">  A home occupation sign is an on-site identification </w:t>
      </w:r>
      <w:r w:rsidRPr="00015E4F">
        <w:rPr>
          <w:rFonts w:asciiTheme="minorHAnsi" w:eastAsia="Times New Roman" w:hAnsiTheme="minorHAnsi" w:cstheme="minorHAnsi"/>
          <w:color w:val="000000" w:themeColor="text1"/>
        </w:rPr>
        <w:t>sign which advertises a home occupation as</w:t>
      </w:r>
      <w:r w:rsidRPr="00015E4F">
        <w:rPr>
          <w:rFonts w:asciiTheme="minorHAnsi" w:eastAsia="Times New Roman" w:hAnsiTheme="minorHAnsi" w:cstheme="minorHAnsi"/>
        </w:rPr>
        <w:t xml:space="preserve"> defined by the City of Williamson Zoning Ordinance. Home occupations may be allowed in any residential District. The surface area and type of home occupation sign shall be limited to one (1) wall sign only, not to exceed one (1) square foot, mounted next to the main-entry door. No permit is required for such a wall sign.</w:t>
      </w:r>
    </w:p>
    <w:p w14:paraId="43A88C3F" w14:textId="02978106" w:rsidR="00015E4F" w:rsidRPr="00015E4F" w:rsidRDefault="00015E4F">
      <w:pPr>
        <w:rPr>
          <w:b/>
          <w:bCs/>
          <w:sz w:val="32"/>
          <w:szCs w:val="32"/>
        </w:rPr>
      </w:pPr>
      <w:r w:rsidRPr="00015E4F">
        <w:rPr>
          <w:b/>
          <w:bCs/>
          <w:sz w:val="32"/>
          <w:szCs w:val="32"/>
        </w:rPr>
        <w:t xml:space="preserve">From Zoning </w:t>
      </w:r>
      <w:r>
        <w:rPr>
          <w:b/>
          <w:bCs/>
          <w:sz w:val="32"/>
          <w:szCs w:val="32"/>
        </w:rPr>
        <w:t xml:space="preserve">Ordinance </w:t>
      </w:r>
      <w:r w:rsidRPr="00015E4F">
        <w:rPr>
          <w:b/>
          <w:bCs/>
          <w:sz w:val="32"/>
          <w:szCs w:val="32"/>
        </w:rPr>
        <w:t>Definitions:</w:t>
      </w:r>
    </w:p>
    <w:p w14:paraId="33ED15DC" w14:textId="77777777" w:rsidR="00015E4F" w:rsidRPr="00015E4F" w:rsidRDefault="00015E4F" w:rsidP="00015E4F">
      <w:pPr>
        <w:ind w:left="360"/>
      </w:pPr>
      <w:r w:rsidRPr="00015E4F">
        <w:t>GARAGE or CARPORT, PRIVATE. A covered space for the storage of one or more motor vehicles belonging to the occupants of the principal use on the lot. No business occupation or service may be conducted for profit within the private garage except a home occupation under conditions specified in this section.</w:t>
      </w:r>
    </w:p>
    <w:p w14:paraId="216D52FD" w14:textId="77777777" w:rsidR="00015E4F" w:rsidRPr="00015E4F" w:rsidRDefault="00015E4F" w:rsidP="00015E4F">
      <w:pPr>
        <w:ind w:left="360"/>
      </w:pPr>
      <w:r w:rsidRPr="00015E4F">
        <w:lastRenderedPageBreak/>
        <w:t>HOME OCCUPATION. An occupation for gain or support conducted only by members of a family residing on the premises and entirely within the main dwelling. The following required development standards must be met by all HOME OCCUPATIONS:</w:t>
      </w:r>
    </w:p>
    <w:p w14:paraId="7A157F82" w14:textId="77777777" w:rsidR="00015E4F" w:rsidRPr="00015E4F" w:rsidRDefault="00015E4F" w:rsidP="00015E4F">
      <w:pPr>
        <w:numPr>
          <w:ilvl w:val="0"/>
          <w:numId w:val="3"/>
        </w:numPr>
        <w:contextualSpacing/>
      </w:pPr>
      <w:r w:rsidRPr="00015E4F">
        <w:t>Only residents of the dwelling may be engaged in the home occupation;</w:t>
      </w:r>
    </w:p>
    <w:p w14:paraId="25C9A8FF" w14:textId="77777777" w:rsidR="00015E4F" w:rsidRPr="00015E4F" w:rsidRDefault="00015E4F" w:rsidP="00015E4F">
      <w:pPr>
        <w:numPr>
          <w:ilvl w:val="0"/>
          <w:numId w:val="3"/>
        </w:numPr>
        <w:contextualSpacing/>
      </w:pPr>
      <w:r w:rsidRPr="00015E4F">
        <w:t xml:space="preserve">The home occupation must be clearly incidental </w:t>
      </w:r>
      <w:proofErr w:type="gramStart"/>
      <w:r w:rsidRPr="00015E4F">
        <w:t>to  the</w:t>
      </w:r>
      <w:proofErr w:type="gramEnd"/>
      <w:r w:rsidRPr="00015E4F">
        <w:t xml:space="preserve"> residential use of the dwelling and must not change the essential residential character of the building;</w:t>
      </w:r>
    </w:p>
    <w:p w14:paraId="44650166" w14:textId="77777777" w:rsidR="00015E4F" w:rsidRPr="00015E4F" w:rsidRDefault="00015E4F" w:rsidP="00015E4F">
      <w:pPr>
        <w:numPr>
          <w:ilvl w:val="0"/>
          <w:numId w:val="3"/>
        </w:numPr>
        <w:contextualSpacing/>
      </w:pPr>
      <w:r w:rsidRPr="00015E4F">
        <w:t>No display of products may be visible from the street;</w:t>
      </w:r>
    </w:p>
    <w:p w14:paraId="71F379D2" w14:textId="77777777" w:rsidR="00015E4F" w:rsidRPr="00015E4F" w:rsidRDefault="00015E4F" w:rsidP="00015E4F">
      <w:pPr>
        <w:numPr>
          <w:ilvl w:val="0"/>
          <w:numId w:val="3"/>
        </w:numPr>
        <w:contextualSpacing/>
      </w:pPr>
      <w:r w:rsidRPr="00015E4F">
        <w:t>Use of the building for this purpose may not exceed 25% of the principal building;</w:t>
      </w:r>
    </w:p>
    <w:p w14:paraId="24957057" w14:textId="77777777" w:rsidR="00015E4F" w:rsidRPr="00015E4F" w:rsidRDefault="00015E4F" w:rsidP="00015E4F">
      <w:pPr>
        <w:numPr>
          <w:ilvl w:val="0"/>
          <w:numId w:val="3"/>
        </w:numPr>
        <w:contextualSpacing/>
      </w:pPr>
      <w:r w:rsidRPr="00015E4F">
        <w:t>No internal or external alterations inconsistent with the residential use of the building is permitted;</w:t>
      </w:r>
    </w:p>
    <w:p w14:paraId="1403879C" w14:textId="77777777" w:rsidR="00015E4F" w:rsidRPr="00015E4F" w:rsidRDefault="00015E4F" w:rsidP="00015E4F">
      <w:pPr>
        <w:numPr>
          <w:ilvl w:val="0"/>
          <w:numId w:val="3"/>
        </w:numPr>
        <w:contextualSpacing/>
      </w:pPr>
      <w:r w:rsidRPr="00015E4F">
        <w:t>The home occupation must not constitute a nuisance in the neighborhood;</w:t>
      </w:r>
    </w:p>
    <w:p w14:paraId="66762284" w14:textId="77777777" w:rsidR="00015E4F" w:rsidRPr="00015E4F" w:rsidRDefault="00015E4F" w:rsidP="00015E4F">
      <w:pPr>
        <w:numPr>
          <w:ilvl w:val="0"/>
          <w:numId w:val="3"/>
        </w:numPr>
        <w:contextualSpacing/>
      </w:pPr>
      <w:r w:rsidRPr="00015E4F">
        <w:t>No accessory buildings or outside storage may be used in connection with the home occupation, except a private garage;</w:t>
      </w:r>
    </w:p>
    <w:p w14:paraId="5D1720A8" w14:textId="77777777" w:rsidR="00015E4F" w:rsidRPr="00015E4F" w:rsidRDefault="00015E4F" w:rsidP="00015E4F">
      <w:pPr>
        <w:numPr>
          <w:ilvl w:val="0"/>
          <w:numId w:val="3"/>
        </w:numPr>
        <w:contextualSpacing/>
      </w:pPr>
      <w:r w:rsidRPr="00015E4F">
        <w:t xml:space="preserve">Only vehicles designed and used primarily as passenger vehicles (this includes light </w:t>
      </w:r>
      <w:proofErr w:type="gramStart"/>
      <w:r w:rsidRPr="00015E4F">
        <w:t>pickup  trucks</w:t>
      </w:r>
      <w:proofErr w:type="gramEnd"/>
      <w:r w:rsidRPr="00015E4F">
        <w:t>) may be used in connection with the conduct of the home occupation.</w:t>
      </w:r>
    </w:p>
    <w:p w14:paraId="728E95D5" w14:textId="77777777" w:rsidR="00015E4F" w:rsidRPr="00015E4F" w:rsidRDefault="00015E4F">
      <w:pPr>
        <w:rPr>
          <w:sz w:val="28"/>
          <w:szCs w:val="28"/>
        </w:rPr>
      </w:pPr>
    </w:p>
    <w:sectPr w:rsidR="00015E4F" w:rsidRPr="00015E4F" w:rsidSect="003D451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019F"/>
    <w:multiLevelType w:val="hybridMultilevel"/>
    <w:tmpl w:val="B516C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BB1C20"/>
    <w:multiLevelType w:val="hybridMultilevel"/>
    <w:tmpl w:val="234A1BDA"/>
    <w:lvl w:ilvl="0" w:tplc="D5D61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BB0F6E"/>
    <w:multiLevelType w:val="singleLevel"/>
    <w:tmpl w:val="B3E00920"/>
    <w:lvl w:ilvl="0">
      <w:start w:val="1"/>
      <w:numFmt w:val="lowerLetter"/>
      <w:lvlText w:val="(%1)"/>
      <w:lvlJc w:val="left"/>
      <w:pPr>
        <w:ind w:left="720" w:hanging="360"/>
      </w:pPr>
      <w:rPr>
        <w:rFonts w:hint="default"/>
        <w:color w:val="070304"/>
      </w:rPr>
    </w:lvl>
  </w:abstractNum>
  <w:num w:numId="1" w16cid:durableId="14503563">
    <w:abstractNumId w:val="1"/>
  </w:num>
  <w:num w:numId="2" w16cid:durableId="183326452">
    <w:abstractNumId w:val="2"/>
  </w:num>
  <w:num w:numId="3" w16cid:durableId="17774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A7"/>
    <w:rsid w:val="00015E4F"/>
    <w:rsid w:val="001B30A7"/>
    <w:rsid w:val="00244731"/>
    <w:rsid w:val="003D451C"/>
    <w:rsid w:val="00627FCC"/>
    <w:rsid w:val="009A1E85"/>
    <w:rsid w:val="00E3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0660"/>
  <w15:docId w15:val="{7916F671-A224-4B60-9266-15F9D533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A7"/>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Williamson GA</cp:lastModifiedBy>
  <cp:revision>2</cp:revision>
  <cp:lastPrinted>2022-05-11T12:34:00Z</cp:lastPrinted>
  <dcterms:created xsi:type="dcterms:W3CDTF">2022-05-11T12:35:00Z</dcterms:created>
  <dcterms:modified xsi:type="dcterms:W3CDTF">2022-05-11T12:35:00Z</dcterms:modified>
</cp:coreProperties>
</file>